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00" w:type="dxa"/>
        <w:tblCellSpacing w:w="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E7F0F9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54"/>
        <w:gridCol w:w="6746"/>
      </w:tblGrid>
      <w:tr w14:paraId="5AB12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F0F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3402FDB">
            <w:pPr>
              <w:spacing w:before="0" w:after="0" w:line="240" w:lineRule="auto"/>
              <w:jc w:val="left"/>
            </w:pPr>
            <w:r>
              <w:rPr>
                <w:b/>
              </w:rPr>
              <w:t>RKP broj</w:t>
            </w:r>
          </w:p>
        </w:tc>
        <w:tc>
          <w:tcPr>
            <w:shd w:val="clear" w:color="auto" w:fill="E7F0F9"/>
          </w:tcPr>
          <w:p w14:paraId="05BE4C98">
            <w:pPr>
              <w:spacing w:before="0" w:after="0" w:line="240" w:lineRule="auto"/>
              <w:jc w:val="left"/>
            </w:pPr>
            <w:r>
              <w:t>50073</w:t>
            </w:r>
          </w:p>
        </w:tc>
      </w:tr>
      <w:tr w14:paraId="13EB1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F0F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EF12088">
            <w:pPr>
              <w:spacing w:before="0" w:after="0" w:line="240" w:lineRule="auto"/>
              <w:jc w:val="left"/>
            </w:pPr>
            <w:r>
              <w:rPr>
                <w:b/>
              </w:rPr>
              <w:t>Naziv obveznika</w:t>
            </w:r>
          </w:p>
        </w:tc>
        <w:tc>
          <w:tcPr>
            <w:shd w:val="clear" w:color="auto" w:fill="E7F0F9"/>
          </w:tcPr>
          <w:p w14:paraId="1DDEB848">
            <w:pPr>
              <w:spacing w:before="0" w:after="0" w:line="240" w:lineRule="auto"/>
              <w:jc w:val="left"/>
            </w:pPr>
            <w:r>
              <w:t>CENTAR ZA PRUŽANJE USLUGA U ZAJEDNICI GRADA CRIKVENICE</w:t>
            </w:r>
          </w:p>
        </w:tc>
      </w:tr>
      <w:tr w14:paraId="432A2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7A1D9E8">
            <w:pPr>
              <w:spacing w:before="0" w:after="0" w:line="240" w:lineRule="auto"/>
              <w:jc w:val="left"/>
            </w:pPr>
            <w:r>
              <w:rPr>
                <w:b/>
              </w:rPr>
              <w:t>Razina</w:t>
            </w:r>
          </w:p>
        </w:tc>
        <w:tc>
          <w:tcPr>
            <w:shd w:val="clear" w:color="auto" w:fill="E7F0F9"/>
          </w:tcPr>
          <w:p w14:paraId="4B16A652">
            <w:pPr>
              <w:spacing w:before="0" w:after="0" w:line="240" w:lineRule="auto"/>
              <w:jc w:val="left"/>
            </w:pPr>
            <w:r>
              <w:t>21</w:t>
            </w:r>
          </w:p>
        </w:tc>
      </w:tr>
    </w:tbl>
    <w:p w14:paraId="04D27C1B">
      <w:r>
        <w:br w:type="textWrapping"/>
      </w:r>
    </w:p>
    <w:p w14:paraId="3D9726FB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BILJEŠKE UZ FINANCIJSKE IZVJEŠTAJE</w:t>
      </w:r>
    </w:p>
    <w:p w14:paraId="4314577A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ZA RAZDOBLJE</w:t>
      </w:r>
    </w:p>
    <w:p w14:paraId="20369D51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I - XII 2025.</w:t>
      </w:r>
    </w:p>
    <w:p w14:paraId="042952AB"/>
    <w:p w14:paraId="4AEB3E7C">
      <w:pPr>
        <w:rPr>
          <w:rFonts w:hint="default"/>
          <w:lang w:val="hr-HR"/>
        </w:rPr>
      </w:pPr>
      <w:r>
        <w:rPr>
          <w:rFonts w:hint="default"/>
          <w:lang w:val="hr-HR"/>
        </w:rPr>
        <w:t>KLASA: 400-01/26-01/01</w:t>
      </w:r>
    </w:p>
    <w:p w14:paraId="3395A5EF">
      <w:pPr>
        <w:rPr>
          <w:rFonts w:hint="default"/>
          <w:lang w:val="hr-HR"/>
        </w:rPr>
      </w:pPr>
      <w:r>
        <w:rPr>
          <w:rFonts w:hint="default"/>
          <w:lang w:val="hr-HR"/>
        </w:rPr>
        <w:t>URBROJ: 2170-1-22-01-01-26-1</w:t>
      </w:r>
    </w:p>
    <w:p w14:paraId="7CE19E98">
      <w:pPr>
        <w:rPr>
          <w:rFonts w:hint="default"/>
          <w:lang w:val="hr-HR"/>
        </w:rPr>
      </w:pPr>
      <w:r>
        <w:rPr>
          <w:rFonts w:hint="default"/>
          <w:lang w:val="hr-HR"/>
        </w:rPr>
        <w:t>Crikvenica, 05.02.2026.</w:t>
      </w:r>
      <w:bookmarkStart w:id="0" w:name="_GoBack"/>
      <w:bookmarkEnd w:id="0"/>
    </w:p>
    <w:p w14:paraId="5714B180">
      <w:pPr>
        <w:keepNext/>
        <w:spacing w:line="240" w:lineRule="auto"/>
        <w:jc w:val="center"/>
      </w:pPr>
      <w:r>
        <w:rPr>
          <w:rFonts w:ascii="Times New Roman" w:hAnsi="Times New Roman"/>
          <w:b/>
          <w:sz w:val="28"/>
        </w:rPr>
        <w:t>Izvještaj o prihodima i rashodima, primicima i izdacima</w:t>
      </w:r>
    </w:p>
    <w:p w14:paraId="63B81BF6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1.</w:t>
      </w:r>
    </w:p>
    <w:tbl>
      <w:tblPr>
        <w:tblStyle w:val="3"/>
        <w:tblW w:w="0" w:type="auto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1ECABA7D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CA7D5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A8631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3537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5FC1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CD896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6801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0E9378B2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02D201F8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2833206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DDE846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EB767D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219.743,83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60AC15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287.494,28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8A071C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130,8</w:t>
            </w:r>
          </w:p>
        </w:tc>
      </w:tr>
      <w:tr w14:paraId="395C64E1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7BCAFE10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28331B6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RASHODI POSLOVANJA (šifre 31+32+34+35+36+37+38)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0E02FF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77681DC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222.601,64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591FC9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290.208,69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BC4CBA0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130,4</w:t>
            </w:r>
          </w:p>
        </w:tc>
      </w:tr>
      <w:tr w14:paraId="21FCD01E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7BBB80D2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30B487A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B6907B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BB748AF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2.857,81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5012B90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2.714,41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DE7C9CF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95,0</w:t>
            </w:r>
          </w:p>
        </w:tc>
      </w:tr>
      <w:tr w14:paraId="7E875B11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29C5798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DAEEE4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C5ECE70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F970C2C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7703DA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1F4A694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14:paraId="2DDA6504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11AC0A32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6C52216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5783593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E3A1A1F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1.921,50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217CA14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906,00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C4557BF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47,2</w:t>
            </w:r>
          </w:p>
        </w:tc>
      </w:tr>
      <w:tr w14:paraId="21BB5FA8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716B37BC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C13E97C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688D16D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F221035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1.921,50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663CA4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906,00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A2721F4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47,2</w:t>
            </w:r>
          </w:p>
        </w:tc>
      </w:tr>
      <w:tr w14:paraId="03197756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15720599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F62961D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1870735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5A1B16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F67D0B5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CA917B5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14:paraId="063901BE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18ECEB48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B77D7FC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3BD541E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471A8C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0E9EA2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501777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14:paraId="0742AD43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47D7536C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CC598AD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955935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AF2C3B0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3035572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DDA202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</w:tr>
      <w:tr w14:paraId="4750FCE8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7719B2D3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F4CFAC2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493740C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04791D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4.779,31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2641FF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3.620,41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D76486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75,8</w:t>
            </w:r>
          </w:p>
        </w:tc>
      </w:tr>
    </w:tbl>
    <w:p w14:paraId="6EA0F353">
      <w:pPr>
        <w:spacing w:before="0" w:after="0"/>
      </w:pPr>
    </w:p>
    <w:p w14:paraId="7609EF22">
      <w:r>
        <w:t>Centar za pružanje usluga  u zajednici Grada Crikvenice djeluje kao proračunski korisnik od 23. veljače 2018.godine. Zastupa ga ravnateljica Edita Kalanj od 17.veljače 2021. godine.  Centar za pružanje usluga u zajednici namijenjen je osobama kojima je zbog privremenih ili trajnih promjena u zdravstvenom stanju potrebna pomoć u vlastitom kućanstvu. Kroz ovaj Program nastoji se omogućiti starijim i nemoćnim osobama da ostanu što duže u svojim domovima, osiguravajući im kvalitetnu njegu i brigu, a na području Grada Crikvenice provodi se od 2010. godine.</w:t>
      </w:r>
    </w:p>
    <w:p w14:paraId="2A88FDB4">
      <w:r>
        <w:br w:type="textWrapping"/>
      </w:r>
    </w:p>
    <w:p w14:paraId="53E8EC21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2.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7728F73D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0DB6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0E0E3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649B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FE10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9B69A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5B4E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11BDEC75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40074B04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FA3BB7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14ECEC3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8B33170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219.743,83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32C0F2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287.494,28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45097E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130,8</w:t>
            </w:r>
          </w:p>
        </w:tc>
      </w:tr>
    </w:tbl>
    <w:p w14:paraId="7A0F13CF">
      <w:pPr>
        <w:spacing w:before="0" w:after="0"/>
      </w:pPr>
    </w:p>
    <w:p w14:paraId="672362D8">
      <w:r>
        <w:t>U izvještajnom razdoblju ostvareni prihodi poslovanja iznose 287.494,28 € i veći su za 30,8% u odnosu na 31.12.2024. godine. Najznačajnije povećanje prihoda ostvareno je od prihoda iz nadležnog proračuna (67).</w:t>
      </w:r>
    </w:p>
    <w:p w14:paraId="59E89BD1"/>
    <w:p w14:paraId="63DF40C6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3.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30C5F474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386D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96F7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259A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4008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BBDFA6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324C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30FE564B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1DC8551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C404B1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9CDCAB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2CA3B6F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45.586,47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BF3D3D8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48.337,28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FBDF9C0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106,0</w:t>
            </w:r>
          </w:p>
        </w:tc>
      </w:tr>
    </w:tbl>
    <w:p w14:paraId="36AF7EA9">
      <w:pPr>
        <w:spacing w:before="0" w:after="0"/>
      </w:pPr>
    </w:p>
    <w:p w14:paraId="1B314439">
      <w:r>
        <w:t>Prihodi od pruženih usluga su uvećani za 6% u odnosu na prošlu godinu. Navedeni prihodi odnose se na uplate korisnika Centra za pružanje usluga u zajednici Grada Crikvenice temeljem ispostavljenih faktura. Broj korisnika je porastao u odnosu na 2024. godinu, a također povećan je i broj usluga koje korisnici koriste. Cijene usluga ostale su na istoj razini u 2025. godini u odnosu na 2024. godinu.</w:t>
      </w:r>
    </w:p>
    <w:p w14:paraId="754FD196"/>
    <w:p w14:paraId="0CAA6F68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4.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71C2DE92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74967F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06E1F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AB9D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99B694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8A39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9B74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31EE435C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5CA86E0A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F242AA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CC93738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821A20F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174.157,36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E50FE23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239.157,00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B2DD0CE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137,3</w:t>
            </w:r>
          </w:p>
        </w:tc>
      </w:tr>
    </w:tbl>
    <w:p w14:paraId="06AB4838">
      <w:pPr>
        <w:spacing w:before="0" w:after="0"/>
      </w:pPr>
    </w:p>
    <w:p w14:paraId="293D6678">
      <w:r>
        <w:t>Prihod iz nadležnog proračuna za financiranje rashoda poslovanja ostvareni su 37,3 % više od prošlogodišnjih, a najvećim dijelom se odnose na plaćene rashode za zaposlene koji su povećani zbog povećanja osnovice za obračun plaće u odnosu na isti period prošle godine.</w:t>
      </w:r>
    </w:p>
    <w:p w14:paraId="03496873"/>
    <w:p w14:paraId="6A124721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5.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5475E88B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D7A8B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9E11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DA4C6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D375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0B2A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0C2F43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0FD8CD04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3FFFE395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4BE8C69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RASHODI POSLOVANJA (šifre 31+32+34+35+36+37+38)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FB86128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ED4A366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222.601,64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680C9BF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290.208,69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5D565BC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130,4</w:t>
            </w:r>
          </w:p>
        </w:tc>
      </w:tr>
    </w:tbl>
    <w:p w14:paraId="04B258E2">
      <w:pPr>
        <w:spacing w:before="0" w:after="0"/>
      </w:pPr>
    </w:p>
    <w:p w14:paraId="27F551E7">
      <w:r>
        <w:t>Ostvareni rashodi poslovanja u izvještajnom razdoblju iznose 290.208,69 € i veći su za 30,4% u odnosu na izvještajno razdoblje prethodne godine.</w:t>
      </w:r>
    </w:p>
    <w:p w14:paraId="55FF05A3"/>
    <w:p w14:paraId="0ED77158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6.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064B83AA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96BD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80194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3103C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4526F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E236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940E7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2F206475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53E789F5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66323D4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026DBFE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078CB4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197.155,98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FF8DB0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251.544,22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6F1FD74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127,6</w:t>
            </w:r>
          </w:p>
        </w:tc>
      </w:tr>
    </w:tbl>
    <w:p w14:paraId="3A8D6EE8">
      <w:pPr>
        <w:spacing w:before="0" w:after="0"/>
      </w:pPr>
    </w:p>
    <w:p w14:paraId="785B4EB1">
      <w:r>
        <w:t>Odstupanje u odnosu na prošlu godinu nastalo je zbog povećanja osnovice za obračun plaće u odnosu na isti period prošle godine.</w:t>
      </w:r>
    </w:p>
    <w:p w14:paraId="28128B36"/>
    <w:p w14:paraId="50C8EE19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7.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354F2626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3B58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13D4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6D10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A612A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7985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7229E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40213F07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3E07E75E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08DEA6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E11E084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882B9F2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25.445,66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20291B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38.664,47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9FE0E85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151,9</w:t>
            </w:r>
          </w:p>
        </w:tc>
      </w:tr>
    </w:tbl>
    <w:p w14:paraId="15C72630">
      <w:pPr>
        <w:spacing w:before="0" w:after="0"/>
      </w:pPr>
    </w:p>
    <w:p w14:paraId="3975F50D">
      <w:r>
        <w:t>Veći materijalni rashodi nastali su najvećim dijelom zbog povećanja na rashodima za službena putovanja i na naknadama za korištenje privatnog automobila u službene svrhe (loko vožnja). Uz navedeno, znatno povećanje je i radi nabavke uredskog materijala te usluga tekućeg i investicijskog održavanja.</w:t>
      </w:r>
    </w:p>
    <w:p w14:paraId="4DDD032E"/>
    <w:p w14:paraId="2BCFDEC8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8.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0D799B25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70AB0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A498D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A12D5D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CA1A7E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AC18F7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EA2F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7F2E8103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1E04FDBE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1CEB656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D247C33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A42A354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7079A33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3E9B87E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</w:tbl>
    <w:p w14:paraId="76284897">
      <w:pPr>
        <w:spacing w:before="0" w:after="0"/>
      </w:pPr>
    </w:p>
    <w:p w14:paraId="72BDA14E">
      <w:r>
        <w:t>U navedenom razdoblju nema ostvarenih prihoda od prodaje nefinancijske imovine.</w:t>
      </w:r>
    </w:p>
    <w:p w14:paraId="6EA00E1F"/>
    <w:p w14:paraId="2A51ECD7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9.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51CF29A7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DA546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22984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3524FF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33BB7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70533F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1B3B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0D24320D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106DB078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311DA06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3E50BA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24BABFE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1.921,50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2FAA042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906,00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FAD42B8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47,2</w:t>
            </w:r>
          </w:p>
        </w:tc>
      </w:tr>
    </w:tbl>
    <w:p w14:paraId="050321B4">
      <w:pPr>
        <w:spacing w:before="0" w:after="0"/>
      </w:pPr>
    </w:p>
    <w:p w14:paraId="19149709">
      <w:r>
        <w:t>Rashodi za nabavu nefinancijske imovine ostvareni su u iznosu od 906,00 €. Navedeni rashod odnosi se na uređaje i opremu za ostale namjene. </w:t>
      </w:r>
    </w:p>
    <w:p w14:paraId="33EF5AD0"/>
    <w:p w14:paraId="65D53BF7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10.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2CD482E9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A9A6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D875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98B56F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1B3F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169A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A2A84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5D57BEEB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61CCB27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9221x, 9222x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731C37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Manjak prihoda - preneseni (šifre 92221+92222-92211-92212)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2530B0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9221x,9222x MP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FECE42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12.588,81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1EC96E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17.368,11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8189B2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138,0</w:t>
            </w:r>
          </w:p>
        </w:tc>
      </w:tr>
    </w:tbl>
    <w:p w14:paraId="4022C489">
      <w:pPr>
        <w:spacing w:before="0" w:after="0"/>
      </w:pPr>
    </w:p>
    <w:p w14:paraId="786BA9C5">
      <w:r>
        <w:t>Preneseni manjak na 31.12.2024. iznosio je 17.368,12 €, ali u tijeku godine je rezultat korigiran za 0,01 € tako da na 31.12.2025. iznosi 17.368,11 €.  Navedeni iznos odnosi se na metodološki manjak iz prihoda Grada.</w:t>
      </w:r>
    </w:p>
    <w:p w14:paraId="7C8E781C"/>
    <w:p w14:paraId="29CBA66A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11.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5D46268F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8D3C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304C5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ED86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C6BE1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5D0B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B875D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667A7D56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37CF33D3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9814BB5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UKUPNI PRIHODI I PRIMICI (šifre X067+8)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FC16100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X678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D80450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219.743,83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6086B7E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287.494,28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F5D8299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130,8</w:t>
            </w:r>
          </w:p>
        </w:tc>
      </w:tr>
    </w:tbl>
    <w:p w14:paraId="151E40E3">
      <w:pPr>
        <w:spacing w:before="0" w:after="0"/>
      </w:pPr>
    </w:p>
    <w:p w14:paraId="35617725">
      <w:r>
        <w:t>U izvještajnom razdoblju od 01.01.2025. do 31.12.2025. godine ostvareno je 287.494,28 € prihoda, odnosno 30,8% više u odnosu na isto izvještajno razdoblje prošle godine. Na ostvarenje prihoda najvećim dijelom utjecali su prihodi iz nadležnog proračuna (konto 67), a oni su u odnosu na isto izvještajno razdoblje prošle godine povećani za 37,3%. Ostatak prihoda čine Prihodi od pruženih usluga (konto 6615) na koji su evidentirane uplate korisnika Centra.</w:t>
      </w:r>
    </w:p>
    <w:p w14:paraId="3C96DEF1"/>
    <w:p w14:paraId="604AA328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12.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067D7FCB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F13A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62067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F4A0A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B8A55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5792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7AA0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0EB70C46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5A748F00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21D3FFE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97D34FF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3CD11DE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17.368,12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3A0F5A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20.988,52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9F62AC3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120,8</w:t>
            </w:r>
          </w:p>
        </w:tc>
      </w:tr>
    </w:tbl>
    <w:p w14:paraId="6C96EB92">
      <w:pPr>
        <w:spacing w:before="0" w:after="0"/>
      </w:pPr>
    </w:p>
    <w:p w14:paraId="790C578A">
      <w:r>
        <w:t>U izvještajnom razdoblju  ostvaren je manjak prihoda poslovanja u iznosu od 2.714,41 € i manjak prihoda od nefinancijske imovine u iznosu od 906,00 €, odnosno ukupno manjak od 3.620,41 €.</w:t>
      </w:r>
    </w:p>
    <w:p w14:paraId="548BCEB2">
      <w:r>
        <w:t>Preneseni manjak prihoda poslovanja iz prethodne godine  iznosi 17.368,11. </w:t>
      </w:r>
    </w:p>
    <w:p w14:paraId="7FB266C7">
      <w:r>
        <w:t>Rezultat na kraju izvještajnog razdoblja je manjak od 20.988,52 € koji se sastoji od metodološkog manjka iz prihoda Grada koji iznosi 20.988,52 €. S obzirom da se u prihodima iz nadležnog proračuna evidentiraju doznačena sredstva do kraja izvještajnog razdoblja, a da se rashodi za prosinac plaćaju s računa riznice u siječnju, nastaje metodološki manjak koji se pokrije uplatom rashoda proračuna s računa riznice tijekom siječnja.</w:t>
      </w:r>
    </w:p>
    <w:p w14:paraId="67880DFB">
      <w:r>
        <w:t>Iz ostalih izvora nema realiziranog viška niti manjka.</w:t>
      </w:r>
    </w:p>
    <w:p w14:paraId="520AA2C4"/>
    <w:p w14:paraId="7571DFDD">
      <w:pPr>
        <w:keepNext/>
        <w:spacing w:line="240" w:lineRule="auto"/>
        <w:jc w:val="center"/>
      </w:pPr>
      <w:r>
        <w:rPr>
          <w:rFonts w:ascii="Times New Roman" w:hAnsi="Times New Roman"/>
          <w:b/>
          <w:sz w:val="28"/>
        </w:rPr>
        <w:t>Bilanca</w:t>
      </w:r>
    </w:p>
    <w:p w14:paraId="61D693B0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13.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4D523413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4F70F4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7F7A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2C91B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3E453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6E86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5FE6A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4C9E4129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7DFA89F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054585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Nefinancijska imovina (šifre 01+02+03+04+05+06)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81CD9E4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B002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B45D4E3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4.245,92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8B14F0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3.604,02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DD8F113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84,9</w:t>
            </w:r>
          </w:p>
        </w:tc>
      </w:tr>
    </w:tbl>
    <w:p w14:paraId="36792E6C">
      <w:pPr>
        <w:spacing w:before="0" w:after="0"/>
      </w:pPr>
    </w:p>
    <w:p w14:paraId="06CD38D4">
      <w:r>
        <w:t>Nefinancijska imovina iznosi 3.604,02 € i u odnosu na prošlu godinu manja je za 15,10 % u odnosu na isto razdoblje prošle godine.</w:t>
      </w:r>
    </w:p>
    <w:p w14:paraId="31B52299">
      <w:r>
        <w:t>Proveden je godišnji popis imovine sa 31.12.2025. i izvršen je ispravak vrijednosti prema važećim amortizacijskim stopama.</w:t>
      </w:r>
    </w:p>
    <w:p w14:paraId="799B86C3"/>
    <w:p w14:paraId="248A90F0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14.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6C1D234D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A5D9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5CBF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7C643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2840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035F3F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E3F45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1E299FF1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4A5211E0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50652AD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Financijska imovina (šifre 11+12+13+14+15+16+17+19)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71CE492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0A92174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4.967,99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375638E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12.370,82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2884EB4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249,0</w:t>
            </w:r>
          </w:p>
        </w:tc>
      </w:tr>
    </w:tbl>
    <w:p w14:paraId="01DB4CA4">
      <w:pPr>
        <w:spacing w:before="0" w:after="0"/>
      </w:pPr>
    </w:p>
    <w:p w14:paraId="3799473C">
      <w:r>
        <w:t>Financijska imovina iznosi 12.370,82 €. Centar pružanje usluga u zajednici Grada Crikvenice posluje preko riznice svog osnivača Grada Crikvenice te stoga nema vlastiti račun, a stanje i usporedba odnosi se na račune skupine 12 (potraživanja) i 16 (potraživanja za prihode poslovanja).</w:t>
      </w:r>
    </w:p>
    <w:p w14:paraId="3DD5A6F4"/>
    <w:p w14:paraId="2D6EB9EF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15.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69B71161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0145F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2F61E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B180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5ACF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61B6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04AF37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04F3C571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51AA75DF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1E8DC72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Ostala potraživanja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EACAEC4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5A800C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830,47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EA84CE6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1.288,81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F53816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155,2</w:t>
            </w:r>
          </w:p>
        </w:tc>
      </w:tr>
    </w:tbl>
    <w:p w14:paraId="0159579D">
      <w:pPr>
        <w:spacing w:before="0" w:after="0"/>
      </w:pPr>
    </w:p>
    <w:p w14:paraId="6C972835">
      <w:r>
        <w:t>Šifra 129 odnosi se na potraživanja za bolovanje od HZZO-a u iznosu od 1.288,81 €.</w:t>
      </w:r>
    </w:p>
    <w:p w14:paraId="4A40190B"/>
    <w:p w14:paraId="5058EF9B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16.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06D6006A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BB2F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6C1D1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F3506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DFFAE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BD38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86223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21FE25CE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55EA76D0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A794DD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Potraživanja za prihode od prodaje proizvoda i robe te pruženih usluga i za povrat po protestiranim jamstvima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AA13600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713BFB9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3.065,50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1F36CB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8.152,98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C533B49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266,0</w:t>
            </w:r>
          </w:p>
        </w:tc>
      </w:tr>
    </w:tbl>
    <w:p w14:paraId="210E720F">
      <w:pPr>
        <w:spacing w:before="0" w:after="0"/>
      </w:pPr>
    </w:p>
    <w:p w14:paraId="4CB198F4">
      <w:r>
        <w:t>166 Potraživanja za prihode od prodaje proizvoda i usluga u iznosu od 8.152,98 € odnosi se na potraživanja od korisnika Centra. Nedospjela potraživanja iznose 3.015,57 €.</w:t>
      </w:r>
    </w:p>
    <w:p w14:paraId="75EE43D8"/>
    <w:p w14:paraId="64E44BE0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17.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4C71ADC1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89BC26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587BF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6263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65074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0AA6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E28A3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48A8DFF5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700F4560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5FD62B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Potraživanja proračunskih korisnika za sredstva uplaćena u nadležni proračun i za prihode od HZZO-a na temelju ugovornih obveza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4A3C91D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9A1DAB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1.491,22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6F1455F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3.474,53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80ADF4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233,0</w:t>
            </w:r>
          </w:p>
        </w:tc>
      </w:tr>
    </w:tbl>
    <w:p w14:paraId="7ACF66ED">
      <w:pPr>
        <w:spacing w:before="0" w:after="0"/>
      </w:pPr>
    </w:p>
    <w:p w14:paraId="00C57E31">
      <w:r>
        <w:t>167 Potraživanja proračunskih korisnika za sredstva uplaćena u nadležni proračun iznose 3.474,53 €, a odnose se na prihode korisnika izvan proračuna. U saldu potraživanja sadržana su potraživanja za račune koji će se platiti tijekom 2026. godine, a knjiženi su u trošak 2025. godine.</w:t>
      </w:r>
    </w:p>
    <w:p w14:paraId="75C57363"/>
    <w:p w14:paraId="27AFEABF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18.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4D615970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CA0A3D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2225D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2AD19D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15D34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A69CA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3442A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2B3CC2E7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2E0CA54C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7981F92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Ispravak vrijednosti potraživanja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29A1B0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222E5C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419,20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4C07CA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545,50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E734C63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130,1</w:t>
            </w:r>
          </w:p>
        </w:tc>
      </w:tr>
    </w:tbl>
    <w:p w14:paraId="776A1640">
      <w:pPr>
        <w:spacing w:before="0" w:after="0"/>
      </w:pPr>
    </w:p>
    <w:p w14:paraId="50CB1202">
      <w:r>
        <w:t>Temeljem Pravilnika o proračunskom računovodstvu i Računskom planu  dospjela potraživanja podliježu ispravku vrijednosti koji se provodi na kraju godine uzimajući u obzir kašnjenje u naplati više od dvije godine i/ili pokretanje stečajnog i/ili likvidacijskog postupka nad dužnikom te tijekom godine kod odobrenih izuzeća ili oslobođenja od plaćanja i kod nepriznatih troškova zbog kojih se umanjuju potraživanja za refundacije EU sredstava.</w:t>
      </w:r>
    </w:p>
    <w:p w14:paraId="161475A2">
      <w:r>
        <w:t> </w:t>
      </w:r>
    </w:p>
    <w:p w14:paraId="12BE8EE8">
      <w:r>
        <w:t>Proveden je propisani ispravak vrijednosti potraživanja  za dugovanja starija od dvije godine, saldo konta 16911 Ispravak vrijednosti potraživanja na kraju izvještajnog razdoblja  iznosi 545,50 €.</w:t>
      </w:r>
    </w:p>
    <w:p w14:paraId="71EC314F"/>
    <w:p w14:paraId="274C3C39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19.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10557A84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9978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08DFD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09132A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0C2ED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217C76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D8FF4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18021444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5B736AB9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1519283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Obveze (šifre 23+24+25+26+27+29)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903FAE8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F308C06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19.689,81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1F2B4D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25.751,86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EE491C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130,8</w:t>
            </w:r>
          </w:p>
        </w:tc>
      </w:tr>
    </w:tbl>
    <w:p w14:paraId="6DDF976D">
      <w:pPr>
        <w:spacing w:before="0" w:after="0"/>
      </w:pPr>
    </w:p>
    <w:p w14:paraId="454D9CDE">
      <w:r>
        <w:t>Ukupne obveze iznose 25.751,86 €. Iznos obveza u iznosu od 24.946,02 odnosi se na nedospjele obveze prema dobavljačima i obračunatu plaću i ostala materijalna prava za 12. mjesec 2025. godine, a iznos od 805,84 € odnosi se na konto 27612 Obveze proračunskih korisnika za povrat u proračun – bolovanje HZZO. </w:t>
      </w:r>
    </w:p>
    <w:p w14:paraId="4F7356D1"/>
    <w:p w14:paraId="24913990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20.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57F43262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4FEA3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ED5496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2ABDF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4A497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FCC4A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8215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43EA3E05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609C1A5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922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EAE26B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Rezultat - višak/manjak (šifre 9221-9222)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0695F95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922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2DFBD8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-17.368,12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48CCE3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-20.988,52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E3C1960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120,8</w:t>
            </w:r>
          </w:p>
        </w:tc>
      </w:tr>
    </w:tbl>
    <w:p w14:paraId="00DC5AFF">
      <w:pPr>
        <w:spacing w:before="0" w:after="0"/>
      </w:pPr>
    </w:p>
    <w:p w14:paraId="675F765A">
      <w:r>
        <w:t>Rezultat 2025. godine bio je manjak od 3.620,41 €. Preneseni manjak iznosio je 17.388,11 €. Rezultat na kraju izvještajnog razdoblja je manjak od 20.988,52 €.</w:t>
      </w:r>
    </w:p>
    <w:p w14:paraId="3D8A3B31">
      <w:r>
        <w:t>Obvezna korekcija rezultata u skladu sa člankom 82. Pravilnika o proračunskom računovodstvu i računskom planu koji propisuje obvezu korekcije salda na računu 922 nije provedena iz razloga što nije bilo prihoda na propisanim kontima, odnosno rashodi na kontu 4 nisu realizirani iz propisanih konta koji idu na obveznu korekciju.</w:t>
      </w:r>
    </w:p>
    <w:p w14:paraId="2D39E4A0"/>
    <w:p w14:paraId="4C1694DC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21.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7F13B175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C62C4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E0B8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54A6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6E1FD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66F6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9AB5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4F8B52FC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6B44AEA3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A533319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Izvanbilančni zapisi (=0)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77937B0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ED2302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2356DE6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672AD7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</w:tbl>
    <w:p w14:paraId="0731C5D9">
      <w:pPr>
        <w:spacing w:before="0" w:after="0"/>
      </w:pPr>
    </w:p>
    <w:p w14:paraId="623B4217">
      <w:r>
        <w:t>Prema Pravilniku o financijskom izvještavanju u proračunskom računovodstvu obvezne bilješke uz bilancu jesu:</w:t>
      </w:r>
    </w:p>
    <w:p w14:paraId="163DF7B4">
      <w:r>
        <w:t>1. Popis ugovornih odnosa i slično koji uz ispunjenje određenih uvjeta, mogu postati obveza ili imovina (dana kreditna pisma, hipoteke i slično) i</w:t>
      </w:r>
    </w:p>
    <w:p w14:paraId="42202C6E">
      <w:r>
        <w:t>2. Popis sudskih sporova u tijeku.</w:t>
      </w:r>
    </w:p>
    <w:p w14:paraId="2301B012">
      <w:r>
        <w:t> </w:t>
      </w:r>
    </w:p>
    <w:p w14:paraId="78B982F3">
      <w:r>
        <w:t>Proračunski korisnik nema ugovornih odnosa i slično koji uz ispunjenje određenih uvjeta, mogu postati obveza ili imovina (dana kreditna pisma, hipoteke i slično), kao ni sudskih sporova u tijeku.</w:t>
      </w:r>
    </w:p>
    <w:p w14:paraId="38C6DCCF"/>
    <w:p w14:paraId="54111A9F">
      <w:pPr>
        <w:keepNext/>
        <w:spacing w:line="240" w:lineRule="auto"/>
        <w:jc w:val="center"/>
      </w:pPr>
      <w:r>
        <w:rPr>
          <w:rFonts w:ascii="Times New Roman" w:hAnsi="Times New Roman"/>
          <w:b/>
          <w:sz w:val="28"/>
        </w:rPr>
        <w:t>Izvještaj o rashodima prema funkcijskoj klasifikaciji</w:t>
      </w:r>
    </w:p>
    <w:p w14:paraId="1B1EC102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22.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03A46D1E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11F12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12FA3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9ECB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499EF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40714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672E0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5EBC1274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4A74704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0F1D4E0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Socijalna zaštita (šifre 101+102+103+104+105+106+107+108+109)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480EA2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C46EE3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224.523,14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635411F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291.114,69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0F4B93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129,7</w:t>
            </w:r>
          </w:p>
        </w:tc>
      </w:tr>
    </w:tbl>
    <w:p w14:paraId="7A05AE35">
      <w:pPr>
        <w:spacing w:before="0" w:after="0"/>
      </w:pPr>
    </w:p>
    <w:p w14:paraId="64AF0C4F">
      <w:r>
        <w:t>Prema funkcijskoj klasifikaciji svi rashodi proračunskog korisnika Centar pružanje usluga u zajednici Grada Crikvenice klasificirani su u 10 Socijalna zaštita; 102 Starost u iznosu od 291.114,69 €.</w:t>
      </w:r>
    </w:p>
    <w:p w14:paraId="3CCCDF6B"/>
    <w:p w14:paraId="1943F759">
      <w:pPr>
        <w:keepNext/>
        <w:spacing w:line="240" w:lineRule="auto"/>
        <w:jc w:val="center"/>
      </w:pPr>
      <w:r>
        <w:rPr>
          <w:rFonts w:ascii="Times New Roman" w:hAnsi="Times New Roman"/>
          <w:b/>
          <w:sz w:val="28"/>
        </w:rPr>
        <w:t>Promjene u vrijednosti i obujmu imovine i obveza</w:t>
      </w:r>
    </w:p>
    <w:p w14:paraId="4FF7113B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23.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1D7D0B05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BC358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16D0F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ABE697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25F5CE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622E6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0663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26F2FBAB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354BA297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0A05F5D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Proizvedena dugotrajna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1F52BB6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A544AA2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5DE156C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1.547,90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0AD026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</w:tbl>
    <w:p w14:paraId="652DF57C">
      <w:pPr>
        <w:spacing w:before="0" w:after="0"/>
      </w:pPr>
    </w:p>
    <w:p w14:paraId="1A644909">
      <w:r>
        <w:t>P003 odnosi se na obračun ispravka vrijednosti imovine (91511) u iznosu od 1.547,90 €.</w:t>
      </w:r>
    </w:p>
    <w:p w14:paraId="4C5DF2AF"/>
    <w:p w14:paraId="1E6C1937">
      <w:pPr>
        <w:keepNext/>
        <w:spacing w:line="240" w:lineRule="auto"/>
        <w:jc w:val="center"/>
      </w:pPr>
      <w:r>
        <w:rPr>
          <w:rFonts w:ascii="Times New Roman" w:hAnsi="Times New Roman"/>
          <w:b/>
          <w:sz w:val="28"/>
        </w:rPr>
        <w:t>Izvještaj o obvezama</w:t>
      </w:r>
    </w:p>
    <w:p w14:paraId="76C16A20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24.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 w14:paraId="5843DB3B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7075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33E41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DD9447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3587C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B66135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2DD7F32F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2443760C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2C1D3D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DF0BEDA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EF95672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8C9D8F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</w:tbl>
    <w:p w14:paraId="68C7803A">
      <w:pPr>
        <w:spacing w:before="0" w:after="0"/>
      </w:pPr>
    </w:p>
    <w:p w14:paraId="042086E5">
      <w:r>
        <w:t>Nema dospjelih obveza na dan 31.12.2025. godine.</w:t>
      </w:r>
    </w:p>
    <w:p w14:paraId="1F3E887B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cumentProtection w:enforcement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03B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/>
      <w:sz w:val="24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TotalTime>5</TotalTime>
  <ScaleCrop>false</ScaleCrop>
  <LinksUpToDate>false</LinksUpToDate>
  <Application>WPS Office_12.2.0.22222_F1E327BC-269C-435d-A152-05C5408002CA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2026-02-06T14:25:00Z</dcterms:created>
  <dc:creator>Edita</dc:creator>
  <cp:lastModifiedBy>Edita Kalanj</cp:lastModifiedBy>
  <dcterms:modified xsi:type="dcterms:W3CDTF">2026-02-06T14:31:29Z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329CBB138A4D467A832E7B2E54798D54_13</vt:lpwstr>
  </property>
</Properties>
</file>